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I recommend that these guidelines are documented similar to how the enhanced container management functionality is documented. (See below.)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</w:rPr>
        <w:drawing>
          <wp:inline distB="114300" distT="114300" distL="114300" distR="114300">
            <wp:extent cx="5943600" cy="3251200"/>
            <wp:effectExtent b="38100" l="38100" r="38100" t="3810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1200"/>
                    </a:xfrm>
                    <a:prstGeom prst="rect"/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/>
      </w:pPr>
      <w:bookmarkStart w:colFirst="0" w:colLast="0" w:name="_4qpmi5y3jlch" w:id="0"/>
      <w:bookmarkEnd w:id="0"/>
      <w:r w:rsidDel="00000000" w:rsidR="00000000" w:rsidRPr="00000000">
        <w:rPr>
          <w:rtl w:val="0"/>
        </w:rPr>
        <w:t xml:space="preserve">Embedding digital objects and hyperlinks in the content of notes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Digital images and links can be embedded and actuated in the Public User Interface by including the appropriate tag constructs in the Content text field of any given note.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To include an embedded image, use the &lt;dao&gt; tag with an href attribute with the value of the digital object URI and a show attribute with the value of “embed”. Other attributes may be included in the tag to describe and make the image more accessible. For example: &lt;dao href="http://library.cshl.edu/images/archives/datura-workers-1927.jpg" actuate="onload" show="embed"&gt;&lt;/dao&gt;. This may also be done using the &lt;extptr&gt; tag, if your institution still uses EAD 2002. (Note the extptr tag was deprecated in EAD3.)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</w:rPr>
        <w:drawing>
          <wp:inline distB="114300" distT="114300" distL="114300" distR="114300">
            <wp:extent cx="5943600" cy="3987800"/>
            <wp:effectExtent b="38100" l="38100" r="38100" t="381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7800"/>
                    </a:xfrm>
                    <a:prstGeom prst="rect"/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To include a link, use the &lt;extref&gt; tag with an href attribute for the URL to be hyperlinked. For example, &lt;extref href="http://library.cshl.edu/personal-collections/amos-g-avery/collection-inventory"&gt;</w:t>
      </w:r>
      <w:hyperlink r:id="rId8">
        <w:r w:rsidDel="00000000" w:rsidR="00000000" w:rsidRPr="00000000">
          <w:rPr>
            <w:rFonts w:ascii="Roboto" w:cs="Roboto" w:eastAsia="Roboto" w:hAnsi="Roboto"/>
            <w:color w:val="0052cc"/>
            <w:sz w:val="21"/>
            <w:szCs w:val="21"/>
            <w:u w:val="single"/>
            <w:rtl w:val="0"/>
          </w:rPr>
          <w:t xml:space="preserve">http://library.cshl.edu/personal-collections/amos-g-avery/collection-inventory</w:t>
        </w:r>
      </w:hyperlink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&lt;/extref&gt;.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/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</w:rPr>
        <w:drawing>
          <wp:inline distB="114300" distT="114300" distL="114300" distR="114300">
            <wp:extent cx="5943600" cy="3683000"/>
            <wp:effectExtent b="38100" l="38100" r="38100" t="381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3000"/>
                    </a:xfrm>
                    <a:prstGeom prst="rect"/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Proxima Nova" w:cs="Proxima Nova" w:eastAsia="Proxima Nova" w:hAnsi="Proxima Nova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Proxima Nova" w:cs="Proxima Nova" w:eastAsia="Proxima Nova" w:hAnsi="Proxima Nov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Proxima Nova" w:cs="Proxima Nova" w:eastAsia="Proxima Nova" w:hAnsi="Proxima Nova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Proxima Nova" w:cs="Proxima Nova" w:eastAsia="Proxima Nova" w:hAnsi="Proxima Nova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rFonts w:ascii="Proxima Nova" w:cs="Proxima Nova" w:eastAsia="Proxima Nova" w:hAnsi="Proxima Nova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Proxima Nova" w:cs="Proxima Nova" w:eastAsia="Proxima Nova" w:hAnsi="Proxima Nova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Proxima Nova" w:cs="Proxima Nova" w:eastAsia="Proxima Nova" w:hAnsi="Proxima Nova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hyperlink" Target="http://library.cshl.edu/personal-collections/amos-g-avery/collection-inventor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